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14:paraId="496E8F86" wp14:textId="77777777">
      <w:pPr>
        <w:pStyle w:val="style0"/>
        <w:rPr>
          <w:rFonts w:ascii="Times New Roman" w:hAnsi="Times New Roman" w:cs="Calibri"/>
          <w:b/>
          <w:bCs/>
          <w:sz w:val="28"/>
          <w:szCs w:val="28"/>
        </w:rPr>
      </w:pPr>
      <w:bookmarkStart w:name="__DdeLink__40_749514618" w:id="0"/>
      <w:bookmarkEnd w:id="0"/>
      <w:r>
        <w:rPr>
          <w:rFonts w:ascii="Times New Roman" w:hAnsi="Times New Roman" w:cs="Calibri"/>
          <w:b/>
          <w:bCs/>
          <w:sz w:val="28"/>
          <w:szCs w:val="28"/>
        </w:rPr>
        <w:t>Исковое заявление в суд о приватизации квартиры образец</w:t>
      </w:r>
    </w:p>
    <w:p xmlns:wp14="http://schemas.microsoft.com/office/word/2010/wordml" w14:paraId="53BDC61A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Если Вы получили отказ в переводе жилого объекта недвижимости, находящегося в собственности у государства, в частную собственность, то можно попробовать приобрести права, обратившись в суд с исковым требованием. Такое действие оправдано только в том случае, если Вы уверены, что имеете полное право на приватизацию квартиры, предоставленной муниципалитетом.</w:t>
      </w:r>
    </w:p>
    <w:p xmlns:wp14="http://schemas.microsoft.com/office/word/2010/wordml" w14:paraId="4922DA90" wp14:textId="77777777">
      <w:pPr>
        <w:pStyle w:val="style0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Основания для обращения</w:t>
      </w:r>
    </w:p>
    <w:p xmlns:wp14="http://schemas.microsoft.com/office/word/2010/wordml" w14:paraId="0950856B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Из опыта судебной практики, в основном с исковыми требованиями обращаются жильцы квартир, которые получили отказ в приватизации недвижимости. Такие конфликтные ситуации регулируются Жилищным и Гражданским кодексами. </w:t>
      </w:r>
    </w:p>
    <w:p xmlns:wp14="http://schemas.microsoft.com/office/word/2010/wordml" w14:paraId="59B49D67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Приватизация через суд необходима при следующих условиях:</w:t>
      </w:r>
    </w:p>
    <w:p xmlns:wp14="http://schemas.microsoft.com/office/word/2010/wordml" w14:paraId="3077AA08" wp14:textId="77777777">
      <w:pPr>
        <w:pStyle w:val="style0"/>
        <w:numPr>
          <w:ilvl w:val="0"/>
          <w:numId w:val="1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оспаривание правового статуса недвижимости (например, перевод квартиры из статуса служебной);</w:t>
      </w:r>
    </w:p>
    <w:p xmlns:wp14="http://schemas.microsoft.com/office/word/2010/wordml" w14:paraId="561F162D" wp14:textId="77777777">
      <w:pPr>
        <w:pStyle w:val="style0"/>
        <w:numPr>
          <w:ilvl w:val="0"/>
          <w:numId w:val="1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отсутствие сведений о квартире в отделении Росреестра;</w:t>
      </w:r>
    </w:p>
    <w:p xmlns:wp14="http://schemas.microsoft.com/office/word/2010/wordml" w14:paraId="3C25D1A8" wp14:textId="77777777">
      <w:pPr>
        <w:pStyle w:val="style0"/>
        <w:numPr>
          <w:ilvl w:val="0"/>
          <w:numId w:val="1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нежелание других зарегистрированных жильцов от участия в процедуре приватизации недвижимости;</w:t>
      </w:r>
    </w:p>
    <w:p xmlns:wp14="http://schemas.microsoft.com/office/word/2010/wordml" w14:paraId="32541FF8" wp14:textId="77777777">
      <w:pPr>
        <w:pStyle w:val="style0"/>
        <w:numPr>
          <w:ilvl w:val="0"/>
          <w:numId w:val="1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недостаточно обоснованный или вовсе необоснованный отказ органов муниципальный органов. </w:t>
      </w:r>
    </w:p>
    <w:p xmlns:wp14="http://schemas.microsoft.com/office/word/2010/wordml" w14:paraId="6485CFD4" wp14:textId="77777777">
      <w:pPr>
        <w:pStyle w:val="style0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Когда обращение не имеет смысла</w:t>
      </w:r>
    </w:p>
    <w:p xmlns:wp14="http://schemas.microsoft.com/office/word/2010/wordml" w14:paraId="0B925BF3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Подача искового требования в суд не принесёт положительного результата, если основанием для отказа от приватизации от муниципальных органов самоуправления послужили допущенные в документах ошибки и моменты несоответствия действительности, а также недостаток необходимой документации. </w:t>
      </w:r>
    </w:p>
    <w:p xmlns:wp14="http://schemas.microsoft.com/office/word/2010/wordml" w:rsidP="6025BFC5" w14:paraId="164A636A" wp14:textId="5AA4AEB2">
      <w:pPr>
        <w:pStyle w:val="style0"/>
        <w:rPr>
          <w:rFonts w:ascii="Times New Roman" w:hAnsi="Times New Roman" w:cs="Calibri"/>
          <w:b w:val="0"/>
          <w:bCs w:val="0"/>
          <w:sz w:val="24"/>
          <w:szCs w:val="24"/>
        </w:rPr>
      </w:pP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>Поэтому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>,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 xml:space="preserve"> прежде чем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 xml:space="preserve"> обращаться в суд, уделить внимание исправлению всех недочётов и повторно направить заявление на разрешение приватизации. </w:t>
      </w:r>
    </w:p>
    <w:p xmlns:wp14="http://schemas.microsoft.com/office/word/2010/wordml" w14:paraId="448E0318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Когда какие-то из документов получить не представляется возможным, то суд в этом тоже не поможет, потому как список необходимых бумаг для подачи иска тот же самый, а значит, при отсутствии какой-то из них, Вы получите отказ уже от суда в исковом требовании. </w:t>
      </w:r>
    </w:p>
    <w:p xmlns:wp14="http://schemas.microsoft.com/office/word/2010/wordml" w14:paraId="079DF605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Помимо этого, есть несколько категорий объектов жилой недвижимости, которые не подлежат переходу в частные руки в соответствии с законодательством о приватизации даже через суд. </w:t>
      </w:r>
    </w:p>
    <w:p xmlns:wp14="http://schemas.microsoft.com/office/word/2010/wordml" w14:paraId="2B0FE0CF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К таким категориям относятся следующие виды жилья:</w:t>
      </w:r>
    </w:p>
    <w:p xmlns:wp14="http://schemas.microsoft.com/office/word/2010/wordml" w14:paraId="23887E34" wp14:textId="77777777">
      <w:pPr>
        <w:pStyle w:val="style0"/>
        <w:numPr>
          <w:ilvl w:val="0"/>
          <w:numId w:val="2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служебное жильё или находящееся в ведомстве военных или других организаций;</w:t>
      </w:r>
    </w:p>
    <w:p xmlns:wp14="http://schemas.microsoft.com/office/word/2010/wordml" w14:paraId="7B9EEB0D" wp14:textId="77777777">
      <w:pPr>
        <w:pStyle w:val="style0"/>
        <w:numPr>
          <w:ilvl w:val="0"/>
          <w:numId w:val="2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комнаты в служебных общежитиях.</w:t>
      </w:r>
    </w:p>
    <w:p xmlns:wp14="http://schemas.microsoft.com/office/word/2010/wordml" w:rsidP="6025BFC5" w14:paraId="61F73D16" wp14:textId="567C62CC">
      <w:pPr>
        <w:pStyle w:val="style0"/>
        <w:rPr>
          <w:rFonts w:ascii="Times New Roman" w:hAnsi="Times New Roman" w:cs="Calibri"/>
          <w:b w:val="0"/>
          <w:bCs w:val="0"/>
          <w:sz w:val="24"/>
          <w:szCs w:val="24"/>
        </w:rPr>
      </w:pP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>Для того, чтобы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 xml:space="preserve"> приватизация данных категорий жилья стала возможной предприятие или военное ведомство должно вынести решение о передаче квартиры на баланс органов местного самоуправления. В обратном случае суд не признает право на приватизацию. </w:t>
      </w:r>
    </w:p>
    <w:p xmlns:wp14="http://schemas.microsoft.com/office/word/2010/wordml" w14:paraId="1A1BB374" wp14:textId="77777777">
      <w:pPr>
        <w:pStyle w:val="style0"/>
        <w:numPr>
          <w:ilvl w:val="0"/>
          <w:numId w:val="3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Жилой объект, признанный аварийным. </w:t>
      </w:r>
    </w:p>
    <w:p xmlns:wp14="http://schemas.microsoft.com/office/word/2010/wordml" w14:paraId="7D78A5E8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Статус аварийного жилого объекта суд изменить не вправе. В то же время получение такого объекта в частную собственность невыгодно и для самого гражданина, так как после его сноса он может рассчитывать на получение жилья площадью в соответствии с принятыми нормативами. В случае же пребывания снесённой жилплощади в частной собственности, гражданин получает возмещение только лишь в размере рыночной стоимости, которого не хватит на покупку полноценного жилья. </w:t>
      </w:r>
    </w:p>
    <w:p xmlns:wp14="http://schemas.microsoft.com/office/word/2010/wordml" w:rsidP="6025BFC5" w14:paraId="49C10A4A" wp14:textId="3872FA1D">
      <w:pPr>
        <w:pStyle w:val="style0"/>
        <w:numPr>
          <w:ilvl w:val="0"/>
          <w:numId w:val="4"/>
        </w:numPr>
        <w:rPr>
          <w:rFonts w:ascii="Times New Roman" w:hAnsi="Times New Roman" w:cs="Calibri"/>
          <w:b w:val="0"/>
          <w:bCs w:val="0"/>
          <w:sz w:val="24"/>
          <w:szCs w:val="24"/>
        </w:rPr>
      </w:pP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>Социальное жильё, входящее в жилищные фонды органов местного самоуправления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 xml:space="preserve">, 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>передаче в час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>т</w:t>
      </w:r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 xml:space="preserve">ные </w:t>
      </w:r>
      <w:proofErr w:type="gramStart"/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>руки</w:t>
      </w:r>
      <w:proofErr w:type="gramEnd"/>
      <w:r w:rsidRPr="6025BFC5" w:rsidR="6025BFC5">
        <w:rPr>
          <w:rFonts w:ascii="Times New Roman" w:hAnsi="Times New Roman" w:cs="Calibri"/>
          <w:b w:val="0"/>
          <w:bCs w:val="0"/>
          <w:sz w:val="24"/>
          <w:szCs w:val="24"/>
        </w:rPr>
        <w:t xml:space="preserve"> не подлежат.</w:t>
      </w:r>
    </w:p>
    <w:p xmlns:wp14="http://schemas.microsoft.com/office/word/2010/wordml" w14:paraId="483ECDDD" wp14:textId="77777777">
      <w:pPr>
        <w:pStyle w:val="style0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Процедура приватизации через суд</w:t>
      </w:r>
    </w:p>
    <w:p xmlns:wp14="http://schemas.microsoft.com/office/word/2010/wordml" w14:paraId="62E1EBBF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Вопросы приватизации жилья находятся в юрисдикции районных отделений судов, поэтому иск о приватизации следует подавать именно туда, в зависимости от места расположения объекта жилой недвижимости.</w:t>
      </w:r>
    </w:p>
    <w:p xmlns:wp14="http://schemas.microsoft.com/office/word/2010/wordml" w14:paraId="0F8226D6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Принудительная приватизация в судебном порядке по действующему в нашей стране закону невозможна. В то же время отказаться от приватизации или нет - личное дело каждого гражданина. В случае давления с целью получения такого отказа для виновников предусмотрена система штрафов и других санкций. </w:t>
      </w:r>
    </w:p>
    <w:p xmlns:wp14="http://schemas.microsoft.com/office/word/2010/wordml" w14:paraId="33743A68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На процесс приватизации через судебный орган предусматривается срок в течение 2-х месяцев с подачи иска. Время, которое отводится на проверку и заседание зависит от полноты предоставленной документации. </w:t>
      </w:r>
    </w:p>
    <w:p xmlns:wp14="http://schemas.microsoft.com/office/word/2010/wordml" w14:paraId="31C05A4C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После вступления в силу решения суда потребуется ещё как минимум месяц для прихода к компромиссному решению. </w:t>
      </w:r>
    </w:p>
    <w:p xmlns:wp14="http://schemas.microsoft.com/office/word/2010/wordml" w14:paraId="7AE34D65" wp14:textId="77777777">
      <w:pPr>
        <w:pStyle w:val="style0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Необходимые документы</w:t>
      </w:r>
    </w:p>
    <w:p xmlns:wp14="http://schemas.microsoft.com/office/word/2010/wordml" w14:paraId="435B38BA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Приложением к исковому заявлению выступают ниже представленные документы: </w:t>
      </w:r>
    </w:p>
    <w:p xmlns:wp14="http://schemas.microsoft.com/office/word/2010/wordml" w14:paraId="688099FC" wp14:textId="77777777">
      <w:pPr>
        <w:pStyle w:val="style0"/>
        <w:numPr>
          <w:ilvl w:val="0"/>
          <w:numId w:val="5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бумаги, удостоверяющие личность истца и участников договора приватизации, состав его семьи, в том числе свидетельство о заключении брака;</w:t>
      </w:r>
    </w:p>
    <w:p xmlns:wp14="http://schemas.microsoft.com/office/word/2010/wordml" w14:paraId="10539219" wp14:textId="77777777">
      <w:pPr>
        <w:pStyle w:val="style0"/>
        <w:numPr>
          <w:ilvl w:val="0"/>
          <w:numId w:val="5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свидетельства о рождении для малолетних детей и паспорта на зарегистрированных жильцов в возрасте от 14 лет;</w:t>
      </w:r>
    </w:p>
    <w:p xmlns:wp14="http://schemas.microsoft.com/office/word/2010/wordml" w14:paraId="5A8683DC" wp14:textId="77777777">
      <w:pPr>
        <w:pStyle w:val="style0"/>
        <w:numPr>
          <w:ilvl w:val="0"/>
          <w:numId w:val="5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нотариальная доверенность, если интересы истца представляет доверенное лицо;</w:t>
      </w:r>
    </w:p>
    <w:p xmlns:wp14="http://schemas.microsoft.com/office/word/2010/wordml" w14:paraId="7382A9CD" wp14:textId="77777777">
      <w:pPr>
        <w:pStyle w:val="style0"/>
        <w:numPr>
          <w:ilvl w:val="0"/>
          <w:numId w:val="5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письменные отказы от каждого из зарегистрированных жильцов от своего права приватизации;</w:t>
      </w:r>
    </w:p>
    <w:p xmlns:wp14="http://schemas.microsoft.com/office/word/2010/wordml" w14:paraId="0712C052" wp14:textId="77777777">
      <w:pPr>
        <w:pStyle w:val="style0"/>
        <w:numPr>
          <w:ilvl w:val="0"/>
          <w:numId w:val="5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свидетельство о смерти жильцов, которые продолжают числиться на данной жилплощади;</w:t>
      </w:r>
    </w:p>
    <w:p xmlns:wp14="http://schemas.microsoft.com/office/word/2010/wordml" w14:paraId="14EE1C6A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справка о всех зарегистрированных в квартире жильцах (выписка из домовой книги, если приватизируется частный дом);</w:t>
      </w:r>
    </w:p>
    <w:p xmlns:wp14="http://schemas.microsoft.com/office/word/2010/wordml" w14:paraId="5DBF9644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свидетельство о разрешении на перепланировку, если она имела место быть;</w:t>
      </w:r>
    </w:p>
    <w:p xmlns:wp14="http://schemas.microsoft.com/office/word/2010/wordml" w14:paraId="6D59A8A3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техническая документация на недвижимость из БТИ (техпаспорт, кадастровый паспорт, архитектурный план и пр.);</w:t>
      </w:r>
    </w:p>
    <w:p xmlns:wp14="http://schemas.microsoft.com/office/word/2010/wordml" w14:paraId="5B43C871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договор социального найма, ордер;</w:t>
      </w:r>
    </w:p>
    <w:p xmlns:wp14="http://schemas.microsoft.com/office/word/2010/wordml" w14:paraId="7658DBD7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документ, подтверждающий отказ от Муниципалитета на приватизацию;</w:t>
      </w:r>
    </w:p>
    <w:p xmlns:wp14="http://schemas.microsoft.com/office/word/2010/wordml" w14:paraId="21D31AC9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выписка из Росреестра;</w:t>
      </w:r>
    </w:p>
    <w:p xmlns:wp14="http://schemas.microsoft.com/office/word/2010/wordml" w14:paraId="0A0C7085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квитанция об оплате государственной пошлины;</w:t>
      </w:r>
    </w:p>
    <w:p xmlns:wp14="http://schemas.microsoft.com/office/word/2010/wordml" w14:paraId="2C2606B0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копия лицевого счёта; </w:t>
      </w:r>
    </w:p>
    <w:p xmlns:wp14="http://schemas.microsoft.com/office/word/2010/wordml" w14:paraId="261A5EBB" wp14:textId="77777777">
      <w:pPr>
        <w:pStyle w:val="style0"/>
        <w:numPr>
          <w:ilvl w:val="0"/>
          <w:numId w:val="6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прочие бумаги, являющиеся подтверждением доводов истца.</w:t>
      </w:r>
    </w:p>
    <w:p xmlns:wp14="http://schemas.microsoft.com/office/word/2010/wordml" w14:paraId="0C03A622" wp14:textId="77777777">
      <w:pPr>
        <w:pStyle w:val="style0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Как составить иск</w:t>
      </w:r>
    </w:p>
    <w:p xmlns:wp14="http://schemas.microsoft.com/office/word/2010/wordml" w14:paraId="4E81C5DA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Поводом для подачи искового заявления в суд на признание права приватизации жилого объекта выступает отказ в письменной форме, выданный муниципальным органом самоуправления. Он в обязательном порядке прикладывается к остальным документам. </w:t>
      </w:r>
    </w:p>
    <w:p xmlns:wp14="http://schemas.microsoft.com/office/word/2010/wordml" w14:paraId="250FE53A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Сам иск составляется в соответствии со строгими нормативными требованиями к его оформлению. Если он будет оформлен с ошибками, то суд откажет в проведении процедуры приватизации до начала рассмотрения сути самого дела. </w:t>
      </w:r>
    </w:p>
    <w:p xmlns:wp14="http://schemas.microsoft.com/office/word/2010/wordml" w14:paraId="1EB25CDE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Иск должен содержать в себе такие положения:</w:t>
      </w:r>
    </w:p>
    <w:p xmlns:wp14="http://schemas.microsoft.com/office/word/2010/wordml" w14:paraId="2CE7F73D" wp14:textId="77777777">
      <w:pPr>
        <w:pStyle w:val="style0"/>
        <w:numPr>
          <w:ilvl w:val="0"/>
          <w:numId w:val="7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полное название судебного органа; </w:t>
      </w:r>
    </w:p>
    <w:p xmlns:wp14="http://schemas.microsoft.com/office/word/2010/wordml" w14:paraId="361EF205" wp14:textId="77777777">
      <w:pPr>
        <w:pStyle w:val="style0"/>
        <w:numPr>
          <w:ilvl w:val="0"/>
          <w:numId w:val="7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ФИО, реквизиты паспорта, адрес регистрации истца; </w:t>
      </w:r>
    </w:p>
    <w:p xmlns:wp14="http://schemas.microsoft.com/office/word/2010/wordml" w14:paraId="13CDCBE2" wp14:textId="77777777">
      <w:pPr>
        <w:pStyle w:val="style0"/>
        <w:numPr>
          <w:ilvl w:val="0"/>
          <w:numId w:val="7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полное название учреждения или ведомства, от которого был получен отказ в приватизации жилой недвижимости (в этом пункте следует подробно указать дату и условия, при которых направлялось заявление на приватизацию);</w:t>
      </w:r>
    </w:p>
    <w:p xmlns:wp14="http://schemas.microsoft.com/office/word/2010/wordml" w14:paraId="020139A1" wp14:textId="77777777">
      <w:pPr>
        <w:pStyle w:val="style0"/>
        <w:numPr>
          <w:ilvl w:val="0"/>
          <w:numId w:val="7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ссылки на законодательные акты, в соответствии с которыми были нарушены законные права истца посредством отказа от разрешения на приватизацию жилплощади; </w:t>
      </w:r>
    </w:p>
    <w:p xmlns:wp14="http://schemas.microsoft.com/office/word/2010/wordml" w14:paraId="094ECB11" wp14:textId="77777777">
      <w:pPr>
        <w:pStyle w:val="style0"/>
        <w:numPr>
          <w:ilvl w:val="0"/>
          <w:numId w:val="7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суть требований истца. Предметом иска является признание права на приватизацию муниципальной квартиры. </w:t>
      </w:r>
    </w:p>
    <w:p xmlns:wp14="http://schemas.microsoft.com/office/word/2010/wordml" w14:paraId="09740890" wp14:textId="77777777">
      <w:pPr>
        <w:pStyle w:val="style0"/>
        <w:numPr>
          <w:ilvl w:val="0"/>
          <w:numId w:val="7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список приложенной документации;</w:t>
      </w:r>
    </w:p>
    <w:p xmlns:wp14="http://schemas.microsoft.com/office/word/2010/wordml" w14:paraId="185251D4" wp14:textId="77777777">
      <w:pPr>
        <w:pStyle w:val="style0"/>
        <w:numPr>
          <w:ilvl w:val="0"/>
          <w:numId w:val="7"/>
        </w:numPr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подпись заявителя и дата подачи его в организацию. Дата на документе должна совпадать с датой его приёма секретарём суда.</w:t>
      </w:r>
    </w:p>
    <w:p xmlns:wp14="http://schemas.microsoft.com/office/word/2010/wordml" w14:paraId="64F95757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Заявление можно предоставить в письменной форме или напечатать на компьютере. Оба варианта будут приняты в суде.</w:t>
      </w:r>
    </w:p>
    <w:p xmlns:wp14="http://schemas.microsoft.com/office/word/2010/wordml" w14:paraId="74745A94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Учитывая все вышеописанные требования, иск гражданин может составить самостоятельно. Если дело имеет специфические нюансы, которые необходимо учесть и представить в грамотной форме, лучше подстраховаться и прибегнуть к юридической помощи. Юрист подготовит нужные документы и правильно составит иск. Часто этот ход увеличивает шансы на благоприятный исход дела.</w:t>
      </w:r>
    </w:p>
    <w:p xmlns:wp14="http://schemas.microsoft.com/office/word/2010/wordml" w14:paraId="3E0FEBA1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Примечание: </w:t>
      </w:r>
      <w:r>
        <w:rPr>
          <w:rFonts w:ascii="Times New Roman" w:hAnsi="Times New Roman" w:cs="Calibri"/>
          <w:b w:val="false"/>
          <w:bCs w:val="false"/>
          <w:sz w:val="24"/>
          <w:szCs w:val="24"/>
        </w:rPr>
        <w:t>в исковом требовании необходимо как можно точнее указать доводы, служащие причиной отказа на приватизацию. Их можно списать с полученного документа об отказе. Его копию тоже необходимо приложить к иску.</w:t>
      </w:r>
    </w:p>
    <w:p xmlns:wp14="http://schemas.microsoft.com/office/word/2010/wordml" w14:paraId="3777007A" wp14:textId="77777777">
      <w:pPr>
        <w:pStyle w:val="style0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Стоимость</w:t>
      </w:r>
    </w:p>
    <w:p xmlns:wp14="http://schemas.microsoft.com/office/word/2010/wordml" w14:paraId="15F87C57" wp14:textId="77777777">
      <w:pPr>
        <w:pStyle w:val="style0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>При подаче иска требуется предоставить чек, подтверждающий оплату госпошлины в размере 300 руб.</w:t>
      </w:r>
    </w:p>
    <w:p xmlns:wp14="http://schemas.microsoft.com/office/word/2010/wordml" w14:paraId="4E6CE84D" wp14:textId="77777777">
      <w:pPr>
        <w:pStyle w:val="style0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Сроки рассмотрения</w:t>
      </w:r>
    </w:p>
    <w:p xmlns:wp14="http://schemas.microsoft.com/office/word/2010/wordml" w14:paraId="5F8F0AC7" wp14:textId="77777777">
      <w:pPr>
        <w:pStyle w:val="style0"/>
        <w:spacing w:before="0" w:after="200"/>
        <w:contextualSpacing w:val="false"/>
        <w:rPr>
          <w:rFonts w:ascii="Times New Roman" w:hAnsi="Times New Roman" w:cs="Calibri"/>
          <w:b w:val="false"/>
          <w:bCs w:val="false"/>
          <w:sz w:val="24"/>
          <w:szCs w:val="24"/>
        </w:rPr>
      </w:pPr>
      <w:r>
        <w:rPr>
          <w:rFonts w:ascii="Times New Roman" w:hAnsi="Times New Roman" w:cs="Calibri"/>
          <w:b w:val="false"/>
          <w:bCs w:val="false"/>
          <w:sz w:val="24"/>
          <w:szCs w:val="24"/>
        </w:rPr>
        <w:t xml:space="preserve">С момента подачи иска разбор дела в судебном порядке назначается в течение от 1-го до 2-х месяцев. На подготовку реализации решения суда после заседания даётся срок в 10-15 дней. При положительном ответе суда документ служит основанием для регистрации прав на жилплощадь в Росреестре. 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defaultTabStop w:val="708"/>
  <w14:docId w14:val="3933E7FE"/>
  <w15:docId w15:val="{83cb2d3f-4771-4b15-bb1f-f362a67ac6a7}"/>
  <w:rsids>
    <w:rsidRoot w:val="6025BFC5"/>
    <w:rsid w:val="6025BFC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w:type="paragraph" w:styleId="style0">
    <w:name w:val="Normal"/>
    <w:next w:val="style0"/>
    <w:pPr>
      <w:widowControl/>
      <w:suppressAutoHyphens w:val="true"/>
      <w:spacing w:before="0" w:after="200" w:line="276" w:lineRule="auto"/>
      <w:contextualSpacing w:val="false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style15">
    <w:name w:val="Default Paragraph Font"/>
    <w:next w:val="style15"/>
    <w:rPr/>
  </w:style>
  <w:style w:type="character" w:styleId="style16">
    <w:name w:val="Интернет-ссылка"/>
    <w:basedOn w:val="style15"/>
    <w:next w:val="style16"/>
    <w:rPr>
      <w:color w:val="0000FF"/>
      <w:u w:val="single"/>
      <w:lang w:val="zxx-" w:eastAsia="zxx-" w:bidi="zxx-"/>
    </w:rPr>
  </w:style>
  <w:style w:type="character" w:styleId="style17">
    <w:name w:val="ListLabel 1"/>
    <w:next w:val="style17"/>
    <w:rPr>
      <w:rFonts w:cs="Symbol"/>
    </w:rPr>
  </w:style>
  <w:style w:type="character" w:styleId="style18">
    <w:name w:val="ListLabel 2"/>
    <w:next w:val="style18"/>
    <w:rPr>
      <w:rFonts w:cs="OpenSymbol"/>
    </w:rPr>
  </w:style>
  <w:style w:type="character" w:styleId="style19">
    <w:name w:val="Маркеры списка"/>
    <w:next w:val="style19"/>
    <w:rPr>
      <w:rFonts w:ascii="OpenSymbol" w:hAnsi="OpenSymbol" w:eastAsia="OpenSymbol" w:cs="OpenSymbol"/>
    </w:rPr>
  </w:style>
  <w:style w:type="character" w:styleId="style20">
    <w:name w:val="ListLabel 3"/>
    <w:next w:val="style20"/>
    <w:rPr>
      <w:rFonts w:cs="Symbol"/>
    </w:rPr>
  </w:style>
  <w:style w:type="character" w:styleId="style21">
    <w:name w:val="ListLabel 4"/>
    <w:next w:val="style21"/>
    <w:rPr>
      <w:rFonts w:cs="OpenSymbol"/>
    </w:rPr>
  </w:style>
  <w:style w:type="character" w:styleId="style22">
    <w:name w:val="ListLabel 5"/>
    <w:next w:val="style22"/>
    <w:rPr>
      <w:rFonts w:cs="Symbol"/>
    </w:rPr>
  </w:style>
  <w:style w:type="character" w:styleId="style23">
    <w:name w:val="ListLabel 6"/>
    <w:next w:val="style23"/>
    <w:rPr>
      <w:rFonts w:cs="OpenSymbol"/>
    </w:rPr>
  </w:style>
  <w:style w:type="character" w:styleId="style24">
    <w:name w:val="ListLabel 7"/>
    <w:next w:val="style24"/>
    <w:rPr>
      <w:rFonts w:cs="Symbol"/>
    </w:rPr>
  </w:style>
  <w:style w:type="character" w:styleId="style25">
    <w:name w:val="ListLabel 8"/>
    <w:next w:val="style25"/>
    <w:rPr>
      <w:rFonts w:cs="OpenSymbol"/>
    </w:rPr>
  </w:style>
  <w:style w:type="character" w:styleId="style26">
    <w:name w:val="ListLabel 9"/>
    <w:next w:val="style26"/>
    <w:rPr>
      <w:rFonts w:cs="Symbol"/>
    </w:rPr>
  </w:style>
  <w:style w:type="character" w:styleId="style27">
    <w:name w:val="ListLabel 10"/>
    <w:next w:val="style27"/>
    <w:rPr>
      <w:rFonts w:cs="OpenSymbol"/>
    </w:rPr>
  </w:style>
  <w:style w:type="character" w:styleId="style28">
    <w:name w:val="ListLabel 11"/>
    <w:next w:val="style28"/>
    <w:rPr>
      <w:rFonts w:cs="Symbol"/>
    </w:rPr>
  </w:style>
  <w:style w:type="character" w:styleId="style29">
    <w:name w:val="ListLabel 12"/>
    <w:next w:val="style29"/>
    <w:rPr>
      <w:rFonts w:cs="OpenSymbol"/>
    </w:rPr>
  </w:style>
  <w:style w:type="paragraph" w:styleId="style30">
    <w:name w:val="Заголовок"/>
    <w:basedOn w:val="style0"/>
    <w:next w:val="style31"/>
    <w:pPr>
      <w:keepNext/>
      <w:spacing w:before="240" w:after="120"/>
      <w:contextualSpacing w:val="false"/>
    </w:pPr>
    <w:rPr>
      <w:rFonts w:ascii="Arial" w:hAnsi="Arial" w:eastAsia="Microsoft YaHei" w:cs="Mangal"/>
      <w:sz w:val="28"/>
      <w:szCs w:val="28"/>
    </w:rPr>
  </w:style>
  <w:style w:type="paragraph" w:styleId="style31">
    <w:name w:val="Основной текст"/>
    <w:basedOn w:val="style0"/>
    <w:next w:val="style31"/>
    <w:pPr>
      <w:spacing w:before="0" w:after="120"/>
      <w:contextualSpacing w:val="false"/>
    </w:pPr>
    <w:rPr/>
  </w:style>
  <w:style w:type="paragraph" w:styleId="style32">
    <w:name w:val="Список"/>
    <w:basedOn w:val="style31"/>
    <w:next w:val="style32"/>
    <w:pPr/>
    <w:rPr>
      <w:rFonts w:cs="Mangal"/>
    </w:rPr>
  </w:style>
  <w:style w:type="paragraph" w:styleId="style33">
    <w:name w:val="Название"/>
    <w:basedOn w:val="style0"/>
    <w:next w:val="style33"/>
    <w:pPr>
      <w:suppressLineNumbers/>
      <w:spacing w:before="120" w:after="120"/>
      <w:contextualSpacing w:val="false"/>
    </w:pPr>
    <w:rPr>
      <w:rFonts w:cs="Mangal"/>
      <w:i/>
      <w:iCs/>
      <w:sz w:val="24"/>
      <w:szCs w:val="24"/>
    </w:rPr>
  </w:style>
  <w:style w:type="paragraph" w:styleId="style34">
    <w:name w:val="Указатель"/>
    <w:basedOn w:val="style0"/>
    <w:next w:val="style34"/>
    <w:pPr>
      <w:suppressLineNumbers/>
    </w:pPr>
    <w:rPr>
      <w:rFonts w:cs="Mangal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2019-04-01T06:55:00.0000000Z</dcterms:created>
  <dc:creator>Пользователь Windows</dc:creator>
  <lastModifiedBy>Adalin1314</lastModifiedBy>
  <dcterms:modified xsi:type="dcterms:W3CDTF">2019-05-09T20:05:54.2177878Z</dcterms:modified>
  <revision>3</revision>
</coreProperties>
</file>